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34D7E">
        <w:rPr>
          <w:rFonts w:ascii="Times New Roman" w:hAnsi="Times New Roman" w:cs="Times New Roman"/>
          <w:b/>
          <w:sz w:val="36"/>
          <w:szCs w:val="36"/>
          <w:u w:val="single"/>
        </w:rPr>
        <w:t>34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34D7E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434D7E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proofErr w:type="spellStart"/>
      <w:r>
        <w:rPr>
          <w:rFonts w:ascii="Times New Roman" w:hAnsi="Times New Roman" w:cs="Times New Roman"/>
          <w:color w:val="000000"/>
          <w:szCs w:val="24"/>
          <w:lang w:val="es-ES_tradnl"/>
        </w:rPr>
        <w:t>Construccion</w:t>
      </w:r>
      <w:proofErr w:type="spellEnd"/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de dos aulas (cada una de 40m2) con SSHH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434D7E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434D7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85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434D7E">
        <w:rPr>
          <w:rFonts w:ascii="Times New Roman" w:hAnsi="Times New Roman" w:cs="Times New Roman"/>
          <w:b/>
        </w:rPr>
        <w:t>DURAZNO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434D7E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115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34D7E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4D428-AAE7-4028-8B0E-4F33C77BD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2017-10-05T16:08:00Z</dcterms:modified>
</cp:coreProperties>
</file>